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Default"/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Calibri" w:cs="Calibri" w:hAnsi="Calibri" w:eastAsia="Calibri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https://www.youtube.com/watch?v=8ciAnHfIiFA</w:t>
      </w:r>
      <w:r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(What is HRM), </w:t>
      </w:r>
      <w:r>
        <w:rPr>
          <w:rFonts w:ascii="Calibri" w:cs="Calibri" w:hAnsi="Calibri" w:eastAsia="Calibri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https://www.youtube.com/watch?v=9MWFkH4xb3U</w:t>
      </w:r>
      <w:r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(Key HR functions)</w:t>
      </w:r>
    </w:p>
    <w:p>
      <w:pPr>
        <w:pStyle w:val="Default"/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Calibri" w:cs="Calibri" w:hAnsi="Calibri" w:eastAsia="Calibri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https://www.youtube.com/watch?v=ts3P0pBSBD0</w:t>
      </w:r>
      <w:r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(5 functions of HRM), </w:t>
      </w:r>
      <w:r>
        <w:rPr>
          <w:rFonts w:ascii="Calibri" w:cs="Calibri" w:hAnsi="Calibri" w:eastAsia="Calibri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https://www.youtube.com/watch?v=ukmC6F0JvQw</w:t>
      </w:r>
      <w:r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(The role of HR has evolved. Meet the 21st century HR Leader), </w:t>
      </w:r>
      <w:r>
        <w:rPr>
          <w:rFonts w:ascii="Calibri" w:cs="Calibri" w:hAnsi="Calibri" w:eastAsia="Calibri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https://www.youtube.com/watch?v=XPqkU6Vnqaw</w:t>
      </w:r>
      <w:r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(Key skills HR professionals must have)</w:t>
      </w:r>
    </w:p>
    <w:p>
      <w:pPr>
        <w:pStyle w:val="Default"/>
        <w:rPr>
          <w:rFonts w:ascii="Calibri" w:cs="Calibri" w:hAnsi="Calibri" w:eastAsia="Calibri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https://www.youtube.com/watch?v=lBgnc8MNs1Q</w:t>
      </w: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</w:rPr>
        <w:t xml:space="preserve"> </w:t>
      </w:r>
      <w:r>
        <w:rPr>
          <w:rFonts w:ascii="Times New Roman" w:hAnsi="Times New Roman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https://www.youtube.com/watch?v=PWmhl6rzVpM&amp;t=192s</w:t>
      </w: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(Learn how to manage people and be a better leader)</w:t>
      </w:r>
    </w:p>
    <w:p>
      <w:pPr>
        <w:pStyle w:val="Defaul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https://www.youtube.com/watch?v=JtKC2vnXjPE</w:t>
      </w: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(How to Lead - Top 3 Qualities of a Great Leader and other Leadership Skills)</w:t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ff"/>
          <w:sz w:val="24"/>
          <w:szCs w:val="24"/>
          <w:u w:val="single"/>
          <w:rtl w:val="0"/>
          <w:lang w:val="en-US"/>
        </w:rPr>
        <w:t>https://www.youtube.com/watch?v=9dxmYizpAX4</w:t>
      </w: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 xml:space="preserve"> (7 Ways To Be A Better Negotiator | Negotiation | How To Negotiate | Negotiating Skills Tips Tricks)</w:t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>Case Study-02 Link</w:t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Style w:val="Hyperlink.0"/>
          <w:sz w:val="20"/>
          <w:szCs w:val="20"/>
        </w:rPr>
        <w:fldChar w:fldCharType="begin" w:fldLock="0"/>
      </w:r>
      <w:r>
        <w:rPr>
          <w:rStyle w:val="Hyperlink.0"/>
          <w:sz w:val="20"/>
          <w:szCs w:val="20"/>
        </w:rPr>
        <w:instrText xml:space="preserve"> HYPERLINK "https://www.sscnet.ucla.edu/comm/kjohnson/Lab/Publications_files/Dunning,%20Johnson,%20et%20al.%20%28200%230"</w:instrText>
      </w:r>
      <w:r>
        <w:rPr>
          <w:rStyle w:val="Hyperlink.0"/>
          <w:sz w:val="20"/>
          <w:szCs w:val="20"/>
        </w:rPr>
        <w:fldChar w:fldCharType="separate" w:fldLock="0"/>
      </w:r>
      <w:r>
        <w:rPr>
          <w:rStyle w:val="Hyperlink.0"/>
          <w:sz w:val="20"/>
          <w:szCs w:val="20"/>
          <w:rtl w:val="0"/>
          <w:lang w:val="en-US"/>
        </w:rPr>
        <w:t>https://www.sscnet.ucla.edu/comm/kjohnson/Lab/Publications_files/Dunning,%20Johnson,%20et%20al.%20%28200%230</w:t>
      </w:r>
      <w:r>
        <w:rPr>
          <w:sz w:val="20"/>
          <w:szCs w:val="20"/>
        </w:rPr>
        <w:fldChar w:fldCharType="end" w:fldLock="0"/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>Case Study -04</w:t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Style w:val="Hyperlink.0"/>
          <w:sz w:val="20"/>
          <w:szCs w:val="20"/>
        </w:rPr>
        <w:fldChar w:fldCharType="begin" w:fldLock="0"/>
      </w:r>
      <w:r>
        <w:rPr>
          <w:rStyle w:val="Hyperlink.0"/>
          <w:sz w:val="20"/>
          <w:szCs w:val="20"/>
        </w:rPr>
        <w:instrText xml:space="preserve"> HYPERLINK "https://www.newyorker.com/magazine/1996/08/26/passing-the-baton"</w:instrText>
      </w:r>
      <w:r>
        <w:rPr>
          <w:rStyle w:val="Hyperlink.0"/>
          <w:sz w:val="20"/>
          <w:szCs w:val="20"/>
        </w:rPr>
        <w:fldChar w:fldCharType="separate" w:fldLock="0"/>
      </w:r>
      <w:r>
        <w:rPr>
          <w:rStyle w:val="Hyperlink.0"/>
          <w:sz w:val="20"/>
          <w:szCs w:val="20"/>
          <w:rtl w:val="0"/>
          <w:lang w:val="en-US"/>
        </w:rPr>
        <w:t>https://www.newyorker.com/magazine/1996/08/26/passing-the-baton</w:t>
      </w:r>
      <w:r>
        <w:rPr>
          <w:sz w:val="20"/>
          <w:szCs w:val="20"/>
        </w:rPr>
        <w:fldChar w:fldCharType="end" w:fldLock="0"/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>Building Great Teams</w:t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Style w:val="Hyperlink.0"/>
          <w:sz w:val="20"/>
          <w:szCs w:val="20"/>
        </w:rPr>
        <w:fldChar w:fldCharType="begin" w:fldLock="0"/>
      </w:r>
      <w:r>
        <w:rPr>
          <w:rStyle w:val="Hyperlink.0"/>
          <w:sz w:val="20"/>
          <w:szCs w:val="20"/>
        </w:rPr>
        <w:instrText xml:space="preserve"> HYPERLINK "https://insight.kellogg.northwestern.edu/building-leading-great-teams-research"</w:instrText>
      </w:r>
      <w:r>
        <w:rPr>
          <w:rStyle w:val="Hyperlink.0"/>
          <w:sz w:val="20"/>
          <w:szCs w:val="20"/>
        </w:rPr>
        <w:fldChar w:fldCharType="separate" w:fldLock="0"/>
      </w:r>
      <w:r>
        <w:rPr>
          <w:rStyle w:val="Hyperlink.0"/>
          <w:sz w:val="20"/>
          <w:szCs w:val="20"/>
          <w:rtl w:val="0"/>
          <w:lang w:val="en-US"/>
        </w:rPr>
        <w:t>https://insight.kellogg.northwestern.edu/building-leading-great-teams-research</w:t>
      </w:r>
      <w:r>
        <w:rPr>
          <w:sz w:val="20"/>
          <w:szCs w:val="20"/>
        </w:rPr>
        <w:fldChar w:fldCharType="end" w:fldLock="0"/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>Brains and Frames</w:t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Style w:val="Hyperlink.0"/>
          <w:sz w:val="20"/>
          <w:szCs w:val="20"/>
        </w:rPr>
        <w:fldChar w:fldCharType="begin" w:fldLock="0"/>
      </w:r>
      <w:r>
        <w:rPr>
          <w:rStyle w:val="Hyperlink.0"/>
          <w:sz w:val="20"/>
          <w:szCs w:val="20"/>
        </w:rPr>
        <w:instrText xml:space="preserve"> HYPERLINK "https://www.sciencedirect.com/science/article/abs/pii/S1364661306003317"</w:instrText>
      </w:r>
      <w:r>
        <w:rPr>
          <w:rStyle w:val="Hyperlink.0"/>
          <w:sz w:val="20"/>
          <w:szCs w:val="20"/>
        </w:rPr>
        <w:fldChar w:fldCharType="separate" w:fldLock="0"/>
      </w:r>
      <w:r>
        <w:rPr>
          <w:rStyle w:val="Hyperlink.0"/>
          <w:sz w:val="20"/>
          <w:szCs w:val="20"/>
          <w:rtl w:val="0"/>
          <w:lang w:val="en-US"/>
        </w:rPr>
        <w:t>https://www.sciencedirect.com/science/article/abs/pii/S1364661306003317</w:t>
      </w:r>
      <w:r>
        <w:rPr>
          <w:sz w:val="20"/>
          <w:szCs w:val="20"/>
        </w:rPr>
        <w:fldChar w:fldCharType="end" w:fldLock="0"/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Fonts w:ascii="Times New Roman" w:hAnsi="Times New Roman"/>
          <w:strike w:val="0"/>
          <w:dstrike w:val="0"/>
          <w:color w:val="000000"/>
          <w:sz w:val="24"/>
          <w:szCs w:val="24"/>
          <w:u w:val="none"/>
          <w:rtl w:val="0"/>
          <w:lang w:val="en-US"/>
        </w:rPr>
        <w:t>Thinking Rationally about Negotiation</w:t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  <w:r>
        <w:rPr>
          <w:rStyle w:val="Hyperlink.0"/>
          <w:sz w:val="20"/>
          <w:szCs w:val="20"/>
        </w:rPr>
        <w:fldChar w:fldCharType="begin" w:fldLock="0"/>
      </w:r>
      <w:r>
        <w:rPr>
          <w:rStyle w:val="Hyperlink.0"/>
          <w:sz w:val="20"/>
          <w:szCs w:val="20"/>
        </w:rPr>
        <w:instrText xml:space="preserve"> HYPERLINK "https://www.jstor.org/stable/4165077?seq=1"</w:instrText>
      </w:r>
      <w:r>
        <w:rPr>
          <w:rStyle w:val="Hyperlink.0"/>
          <w:sz w:val="20"/>
          <w:szCs w:val="20"/>
        </w:rPr>
        <w:fldChar w:fldCharType="separate" w:fldLock="0"/>
      </w:r>
      <w:r>
        <w:rPr>
          <w:rStyle w:val="Hyperlink.0"/>
          <w:sz w:val="20"/>
          <w:szCs w:val="20"/>
          <w:rtl w:val="0"/>
          <w:lang w:val="en-US"/>
        </w:rPr>
        <w:t>https://www.jstor.org/stable/4165077?seq=1</w:t>
      </w:r>
      <w:r>
        <w:rPr>
          <w:sz w:val="20"/>
          <w:szCs w:val="20"/>
        </w:rPr>
        <w:fldChar w:fldCharType="end" w:fldLock="0"/>
      </w: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pPr>
    </w:p>
    <w:p>
      <w:pPr>
        <w:pStyle w:val="Default"/>
        <w:jc w:val="left"/>
      </w:pPr>
      <w:r>
        <w:rPr>
          <w:rFonts w:ascii="Times New Roman" w:cs="Times New Roman" w:hAnsi="Times New Roman" w:eastAsia="Times New Roman"/>
          <w:strike w:val="0"/>
          <w:dstrike w:val="0"/>
          <w:color w:val="000000"/>
          <w:sz w:val="24"/>
          <w:szCs w:val="24"/>
          <w:u w:val="none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